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66" w:rsidRDefault="00733314">
      <w:pPr>
        <w:spacing w:line="420" w:lineRule="atLeast"/>
        <w:ind w:left="84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○大野市子育て世代にやさしい企業認定事業実施要綱</w:t>
      </w:r>
    </w:p>
    <w:p w:rsidR="00591166" w:rsidRDefault="00733314">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令和２年３月２６日</w:t>
      </w:r>
    </w:p>
    <w:p w:rsidR="00591166" w:rsidRDefault="00733314">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告示第１１４号</w:t>
      </w:r>
    </w:p>
    <w:p w:rsidR="00591166" w:rsidRDefault="00733314">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子育て世代にとって魅力あるまちづくりを推進し、子育てと仕事の両立及び子育て世代の地域への定着を図るため、子育てと仕事が両立できる職場環境づくりを積極的に行う市内の企業（以下「子育て世代にやさしい企業」という。）を認定すること及びその取組内容を広く周知することについて、必要な事項を定めるものとする。</w:t>
      </w:r>
    </w:p>
    <w:p w:rsidR="00591166" w:rsidRDefault="00733314">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591166" w:rsidRDefault="00733314">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企業　市内に本社又は事業所があり、市内において事業活動を行い、かつ常時雇用する従業員を有するもの（国及び地方公共団体を除く。）をいう。</w:t>
      </w:r>
    </w:p>
    <w:p w:rsidR="00591166" w:rsidRDefault="00733314">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認定　この要綱に定める取組を実施し、子育てと仕事の両立を支援する職場環境づくりを推進する企業として一定の基準に達していると判断した企業に対して行うものをいう。</w:t>
      </w:r>
    </w:p>
    <w:p w:rsidR="00591166" w:rsidRDefault="00733314">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（認定申請等）</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この要綱による認定を受けようとする者は、各年度毎に定める応募期間中に大野市子育て世代にやさしい企業認定（新規・更新）申請書（様式第１号。以下「認定申請書」という。）及び大野市子育て世代にやさしい企業認定事業取組事業報告書（様式第２号。以下「事業報告書」という。）に必要な書類を添えて、市長に提出しなければならない。</w:t>
      </w:r>
    </w:p>
    <w:p w:rsidR="00591166" w:rsidRDefault="00733314">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（認定の対象の除外）</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前条の規定にかかわらず、市税に未納のある企業及び過去３年以内において重大な法令違反がある企業は、認定の対象とならない。</w:t>
      </w:r>
    </w:p>
    <w:p w:rsidR="00591166" w:rsidRDefault="00733314">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（認定の決定等）</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市長は、第３条に規定する認定申請書及び事業報告書の提出があったときは、別表に定める大野市子育て世代にやさしい企業認定基準（以下「認定基準」という。）に基づきその内容を審査し、認定の可否を決定するものとする。</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市長は、前項の規定による認定の可否を、大野市子育て世代にやさしい企業認</w:t>
      </w:r>
      <w:r>
        <w:rPr>
          <w:rFonts w:ascii="ＭＳ 明朝" w:eastAsia="ＭＳ 明朝" w:hAnsi="ＭＳ 明朝" w:cs="ＭＳ 明朝" w:hint="eastAsia"/>
          <w:color w:val="000000"/>
        </w:rPr>
        <w:lastRenderedPageBreak/>
        <w:t>定結果通知書（様式第３号）により、申請者に通知するものとする。</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市長は、必要に応じて企業に対して聞取り調査又は現地調査を実施し、申請内容の確認を行うことができる。</w:t>
      </w:r>
    </w:p>
    <w:p w:rsidR="00591166" w:rsidRDefault="00733314">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（認定証の交付等）</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市長は、認定を行った企業（以下「認定企業」という。）に対し、認定証及び認定マークを交付するものとする。</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認定企業は、認定マークを広告、会社案内等に自由に使用することができる。</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市長は、市のホームページ及び刊行物への掲載等により、認定企業及び当該認定企業の取組を広く市民に周知するものとする。</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（認定の有効期間）</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第</w:t>
      </w:r>
      <w:r w:rsidR="00EB1074" w:rsidRPr="00917064">
        <w:rPr>
          <w:rFonts w:ascii="ＭＳ 明朝" w:eastAsia="ＭＳ 明朝" w:hAnsi="ＭＳ 明朝" w:cs="ＭＳ 明朝" w:hint="eastAsia"/>
          <w:color w:val="000000" w:themeColor="text1"/>
        </w:rPr>
        <w:t>７</w:t>
      </w:r>
      <w:r w:rsidRPr="00917064">
        <w:rPr>
          <w:rFonts w:ascii="ＭＳ 明朝" w:eastAsia="ＭＳ 明朝" w:hAnsi="ＭＳ 明朝" w:cs="ＭＳ 明朝" w:hint="eastAsia"/>
          <w:color w:val="000000" w:themeColor="text1"/>
        </w:rPr>
        <w:t>条　認定の有効期間は、認定の日から３年経過後の日が属する年度の末日までとする。</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（認定の更新）</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第</w:t>
      </w:r>
      <w:r w:rsidR="00EB1074" w:rsidRPr="00917064">
        <w:rPr>
          <w:rFonts w:ascii="ＭＳ 明朝" w:eastAsia="ＭＳ 明朝" w:hAnsi="ＭＳ 明朝" w:cs="ＭＳ 明朝" w:hint="eastAsia"/>
          <w:color w:val="000000" w:themeColor="text1"/>
        </w:rPr>
        <w:t>８</w:t>
      </w:r>
      <w:r w:rsidRPr="00917064">
        <w:rPr>
          <w:rFonts w:ascii="ＭＳ 明朝" w:eastAsia="ＭＳ 明朝" w:hAnsi="ＭＳ 明朝" w:cs="ＭＳ 明朝" w:hint="eastAsia"/>
          <w:color w:val="000000" w:themeColor="text1"/>
        </w:rPr>
        <w:t>条　認定企業が、認定の有効期間終了後も引き続き認定を受けようとする場合は、認定の有効期間満了の日の３月前までに、認定申請書を市長に提出しなければならない。</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（確認等への協力）</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第</w:t>
      </w:r>
      <w:r w:rsidR="00EB1074" w:rsidRPr="00917064">
        <w:rPr>
          <w:rFonts w:ascii="ＭＳ 明朝" w:eastAsia="ＭＳ 明朝" w:hAnsi="ＭＳ 明朝" w:cs="ＭＳ 明朝" w:hint="eastAsia"/>
          <w:color w:val="000000" w:themeColor="text1"/>
        </w:rPr>
        <w:t>９</w:t>
      </w:r>
      <w:r w:rsidRPr="00917064">
        <w:rPr>
          <w:rFonts w:ascii="ＭＳ 明朝" w:eastAsia="ＭＳ 明朝" w:hAnsi="ＭＳ 明朝" w:cs="ＭＳ 明朝" w:hint="eastAsia"/>
          <w:color w:val="000000" w:themeColor="text1"/>
        </w:rPr>
        <w:t>条　認定企業は、市長がこの事業を実施するために必要な報告を求め、又は確認を行うときは、協力しなければならない。</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（認定の辞退）</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第１</w:t>
      </w:r>
      <w:r w:rsidR="00EB1074" w:rsidRPr="00917064">
        <w:rPr>
          <w:rFonts w:ascii="ＭＳ 明朝" w:eastAsia="ＭＳ 明朝" w:hAnsi="ＭＳ 明朝" w:cs="ＭＳ 明朝" w:hint="eastAsia"/>
          <w:color w:val="000000" w:themeColor="text1"/>
        </w:rPr>
        <w:t>０</w:t>
      </w:r>
      <w:r w:rsidRPr="00917064">
        <w:rPr>
          <w:rFonts w:ascii="ＭＳ 明朝" w:eastAsia="ＭＳ 明朝" w:hAnsi="ＭＳ 明朝" w:cs="ＭＳ 明朝" w:hint="eastAsia"/>
          <w:color w:val="000000" w:themeColor="text1"/>
        </w:rPr>
        <w:t>条　認定企業が、その認定を辞退するときは、大野市子育て世代にやさしい企業認定辞退申出書（様式第４号）を市長に提出しなければならない。</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（認定の取消し）</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第１</w:t>
      </w:r>
      <w:r w:rsidR="00EB1074" w:rsidRPr="00917064">
        <w:rPr>
          <w:rFonts w:ascii="ＭＳ 明朝" w:eastAsia="ＭＳ 明朝" w:hAnsi="ＭＳ 明朝" w:cs="ＭＳ 明朝" w:hint="eastAsia"/>
          <w:color w:val="000000" w:themeColor="text1"/>
        </w:rPr>
        <w:t>１</w:t>
      </w:r>
      <w:r w:rsidRPr="00917064">
        <w:rPr>
          <w:rFonts w:ascii="ＭＳ 明朝" w:eastAsia="ＭＳ 明朝" w:hAnsi="ＭＳ 明朝" w:cs="ＭＳ 明朝" w:hint="eastAsia"/>
          <w:color w:val="000000" w:themeColor="text1"/>
        </w:rPr>
        <w:t>条　市長は、認定企業が第５条に規定する認定基準を満たさなくなったとき又は認定企業に相応しくない事由が発生したときは、認定を取り消すことができる。</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２　市長は、前項の規定により認定を取り消した場合は、大野市子育て世代にやさしい企業認定取消通知書（様式第５号）を認定企業に通知するものとする。</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３　認定企業は、前項の規定により通知を受けた場合は、速やかに認定証及び認定マークを市長に返還しなければならない。</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４　認定企業は、認定の取消しを受けた日以降は、認定マークを使用してはならな</w:t>
      </w:r>
      <w:r w:rsidRPr="00917064">
        <w:rPr>
          <w:rFonts w:ascii="ＭＳ 明朝" w:eastAsia="ＭＳ 明朝" w:hAnsi="ＭＳ 明朝" w:cs="ＭＳ 明朝" w:hint="eastAsia"/>
          <w:color w:val="000000" w:themeColor="text1"/>
        </w:rPr>
        <w:lastRenderedPageBreak/>
        <w:t>い。</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（その他）</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第１</w:t>
      </w:r>
      <w:r w:rsidR="00EB1074" w:rsidRPr="00917064">
        <w:rPr>
          <w:rFonts w:ascii="ＭＳ 明朝" w:eastAsia="ＭＳ 明朝" w:hAnsi="ＭＳ 明朝" w:cs="ＭＳ 明朝" w:hint="eastAsia"/>
          <w:color w:val="000000" w:themeColor="text1"/>
        </w:rPr>
        <w:t>２</w:t>
      </w:r>
      <w:r w:rsidRPr="00917064">
        <w:rPr>
          <w:rFonts w:ascii="ＭＳ 明朝" w:eastAsia="ＭＳ 明朝" w:hAnsi="ＭＳ 明朝" w:cs="ＭＳ 明朝" w:hint="eastAsia"/>
          <w:color w:val="000000" w:themeColor="text1"/>
        </w:rPr>
        <w:t>条　この要綱に定めるもののほか、必要な事項は、市長が別に定める。</w:t>
      </w:r>
    </w:p>
    <w:p w:rsidR="00591166" w:rsidRPr="00917064" w:rsidRDefault="00733314">
      <w:pPr>
        <w:spacing w:line="420" w:lineRule="atLeast"/>
        <w:ind w:left="63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附　則</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（施行期日）</w:t>
      </w:r>
    </w:p>
    <w:p w:rsidR="00591166" w:rsidRPr="00917064" w:rsidRDefault="00733314">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１　この要綱は、令和２年４月１日から施行する。</w:t>
      </w:r>
    </w:p>
    <w:p w:rsidR="00591166" w:rsidRPr="00917064" w:rsidRDefault="00733314">
      <w:pPr>
        <w:spacing w:line="420" w:lineRule="atLeast"/>
        <w:ind w:left="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（この要綱の失効）</w:t>
      </w:r>
    </w:p>
    <w:p w:rsidR="001B46E0" w:rsidRPr="00917064" w:rsidRDefault="00733314" w:rsidP="001B46E0">
      <w:pPr>
        <w:spacing w:line="420" w:lineRule="atLeast"/>
        <w:ind w:left="210" w:hanging="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２　この要綱は、令和</w:t>
      </w:r>
      <w:r w:rsidR="001B46E0" w:rsidRPr="00917064">
        <w:rPr>
          <w:rFonts w:ascii="ＭＳ 明朝" w:eastAsia="ＭＳ 明朝" w:hAnsi="ＭＳ 明朝" w:cs="ＭＳ 明朝" w:hint="eastAsia"/>
          <w:color w:val="000000" w:themeColor="text1"/>
        </w:rPr>
        <w:t>１０</w:t>
      </w:r>
      <w:r w:rsidRPr="00917064">
        <w:rPr>
          <w:rFonts w:ascii="ＭＳ 明朝" w:eastAsia="ＭＳ 明朝" w:hAnsi="ＭＳ 明朝" w:cs="ＭＳ 明朝" w:hint="eastAsia"/>
          <w:color w:val="000000" w:themeColor="text1"/>
        </w:rPr>
        <w:t>年３月３１日限り、その効力を失う。</w:t>
      </w:r>
    </w:p>
    <w:p w:rsidR="00591166" w:rsidRPr="00917064" w:rsidRDefault="00733314" w:rsidP="001B46E0">
      <w:pPr>
        <w:spacing w:line="420" w:lineRule="atLeast"/>
        <w:ind w:left="210" w:firstLineChars="100" w:firstLine="252"/>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附　則（令和３年告示第１３６号）</w:t>
      </w:r>
    </w:p>
    <w:p w:rsidR="001B46E0" w:rsidRPr="00917064" w:rsidRDefault="00733314" w:rsidP="001B46E0">
      <w:pPr>
        <w:spacing w:line="420" w:lineRule="atLeast"/>
        <w:ind w:firstLine="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この要綱は、令和３年４月１日から施行する。</w:t>
      </w:r>
    </w:p>
    <w:p w:rsidR="001B46E0" w:rsidRPr="00917064" w:rsidRDefault="001B46E0" w:rsidP="001B46E0">
      <w:pPr>
        <w:spacing w:line="420" w:lineRule="atLeast"/>
        <w:ind w:left="210" w:firstLineChars="100" w:firstLine="252"/>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附　則（令和７年告示第</w:t>
      </w:r>
      <w:r w:rsidR="00917064">
        <w:rPr>
          <w:rFonts w:ascii="ＭＳ 明朝" w:eastAsia="ＭＳ 明朝" w:hAnsi="ＭＳ 明朝" w:cs="ＭＳ 明朝" w:hint="eastAsia"/>
          <w:color w:val="000000" w:themeColor="text1"/>
        </w:rPr>
        <w:t>６６</w:t>
      </w:r>
      <w:r w:rsidRPr="00917064">
        <w:rPr>
          <w:rFonts w:ascii="ＭＳ 明朝" w:eastAsia="ＭＳ 明朝" w:hAnsi="ＭＳ 明朝" w:cs="ＭＳ 明朝" w:hint="eastAsia"/>
          <w:color w:val="000000" w:themeColor="text1"/>
        </w:rPr>
        <w:t>号）</w:t>
      </w:r>
    </w:p>
    <w:p w:rsidR="001B46E0" w:rsidRPr="00917064" w:rsidRDefault="001B46E0" w:rsidP="001B46E0">
      <w:pPr>
        <w:spacing w:line="420" w:lineRule="atLeast"/>
        <w:ind w:firstLine="210"/>
        <w:jc w:val="both"/>
        <w:rPr>
          <w:rFonts w:ascii="ＭＳ 明朝" w:eastAsia="ＭＳ 明朝" w:hAnsi="ＭＳ 明朝" w:cs="ＭＳ 明朝"/>
          <w:color w:val="000000" w:themeColor="text1"/>
        </w:rPr>
      </w:pPr>
      <w:r w:rsidRPr="00917064">
        <w:rPr>
          <w:rFonts w:ascii="ＭＳ 明朝" w:eastAsia="ＭＳ 明朝" w:hAnsi="ＭＳ 明朝" w:cs="ＭＳ 明朝" w:hint="eastAsia"/>
          <w:color w:val="000000" w:themeColor="text1"/>
        </w:rPr>
        <w:t>この要綱は、令和７年３月</w:t>
      </w:r>
      <w:r w:rsidR="00917064">
        <w:rPr>
          <w:rFonts w:ascii="ＭＳ 明朝" w:eastAsia="ＭＳ 明朝" w:hAnsi="ＭＳ 明朝" w:cs="ＭＳ 明朝" w:hint="eastAsia"/>
          <w:color w:val="000000" w:themeColor="text1"/>
        </w:rPr>
        <w:t>２７</w:t>
      </w:r>
      <w:bookmarkStart w:id="0" w:name="_GoBack"/>
      <w:bookmarkEnd w:id="0"/>
      <w:r w:rsidRPr="00917064">
        <w:rPr>
          <w:rFonts w:ascii="ＭＳ 明朝" w:eastAsia="ＭＳ 明朝" w:hAnsi="ＭＳ 明朝" w:cs="ＭＳ 明朝" w:hint="eastAsia"/>
          <w:color w:val="000000" w:themeColor="text1"/>
        </w:rPr>
        <w:t>日から施行する。</w:t>
      </w:r>
    </w:p>
    <w:p w:rsidR="001B46E0" w:rsidRPr="00917064" w:rsidRDefault="001B46E0">
      <w:pPr>
        <w:widowControl/>
        <w:autoSpaceDE/>
        <w:autoSpaceDN/>
        <w:adjustRightInd/>
        <w:rPr>
          <w:rFonts w:ascii="ＭＳ 明朝" w:eastAsia="ＭＳ 明朝" w:hAnsi="ＭＳ 明朝" w:cs="ＭＳ 明朝"/>
          <w:color w:val="000000" w:themeColor="text1"/>
        </w:rPr>
      </w:pPr>
      <w:r w:rsidRPr="00917064">
        <w:rPr>
          <w:rFonts w:ascii="ＭＳ 明朝" w:eastAsia="ＭＳ 明朝" w:hAnsi="ＭＳ 明朝" w:cs="ＭＳ 明朝"/>
          <w:color w:val="000000" w:themeColor="text1"/>
        </w:rPr>
        <w:br w:type="page"/>
      </w:r>
    </w:p>
    <w:p w:rsidR="00591166" w:rsidRDefault="00733314" w:rsidP="001B46E0">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別表（第５条関係）</w:t>
      </w:r>
    </w:p>
    <w:p w:rsidR="00591166" w:rsidRDefault="00733314">
      <w:pPr>
        <w:spacing w:line="420" w:lineRule="atLeast"/>
        <w:ind w:left="420"/>
        <w:jc w:val="both"/>
        <w:rPr>
          <w:rFonts w:ascii="ＭＳ 明朝" w:eastAsia="ＭＳ 明朝" w:hAnsi="ＭＳ 明朝" w:cs="ＭＳ 明朝"/>
          <w:color w:val="000000"/>
        </w:rPr>
      </w:pPr>
      <w:r>
        <w:rPr>
          <w:rFonts w:ascii="ＭＳ 明朝" w:eastAsia="ＭＳ 明朝" w:hAnsi="ＭＳ 明朝" w:cs="ＭＳ 明朝" w:hint="eastAsia"/>
          <w:color w:val="000000"/>
        </w:rPr>
        <w:t>大野市子育て世代にやさしい企業認定基準</w:t>
      </w:r>
    </w:p>
    <w:tbl>
      <w:tblPr>
        <w:tblW w:w="0" w:type="auto"/>
        <w:tblInd w:w="96" w:type="dxa"/>
        <w:tblLayout w:type="fixed"/>
        <w:tblCellMar>
          <w:left w:w="0" w:type="dxa"/>
          <w:right w:w="0" w:type="dxa"/>
        </w:tblCellMar>
        <w:tblLook w:val="0000" w:firstRow="0" w:lastRow="0" w:firstColumn="0" w:lastColumn="0" w:noHBand="0" w:noVBand="0"/>
      </w:tblPr>
      <w:tblGrid>
        <w:gridCol w:w="1683"/>
        <w:gridCol w:w="280"/>
        <w:gridCol w:w="5706"/>
        <w:gridCol w:w="1496"/>
      </w:tblGrid>
      <w:tr w:rsidR="00591166">
        <w:tc>
          <w:tcPr>
            <w:tcW w:w="1683" w:type="dxa"/>
            <w:tcBorders>
              <w:top w:val="single" w:sz="4" w:space="0" w:color="000000"/>
              <w:left w:val="single" w:sz="4" w:space="0" w:color="000000"/>
              <w:bottom w:val="single" w:sz="4" w:space="0" w:color="000000"/>
              <w:right w:val="single" w:sz="4" w:space="0" w:color="000000"/>
            </w:tcBorders>
            <w:tcMar>
              <w:left w:w="96" w:type="dxa"/>
              <w:right w:w="96" w:type="dxa"/>
            </w:tcMar>
          </w:tcPr>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取組分野</w:t>
            </w:r>
          </w:p>
        </w:tc>
        <w:tc>
          <w:tcPr>
            <w:tcW w:w="5986" w:type="dxa"/>
            <w:gridSpan w:val="2"/>
            <w:tcBorders>
              <w:top w:val="single" w:sz="4" w:space="0" w:color="000000"/>
              <w:left w:val="nil"/>
              <w:bottom w:val="single" w:sz="4" w:space="0" w:color="000000"/>
              <w:right w:val="single" w:sz="4" w:space="0" w:color="000000"/>
            </w:tcBorders>
            <w:tcMar>
              <w:left w:w="96" w:type="dxa"/>
              <w:right w:w="96" w:type="dxa"/>
            </w:tcMar>
          </w:tcPr>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取組事項</w:t>
            </w:r>
          </w:p>
        </w:tc>
        <w:tc>
          <w:tcPr>
            <w:tcW w:w="1496" w:type="dxa"/>
            <w:tcBorders>
              <w:top w:val="single" w:sz="4" w:space="0" w:color="000000"/>
              <w:left w:val="nil"/>
              <w:bottom w:val="single" w:sz="4" w:space="0" w:color="000000"/>
              <w:right w:val="single" w:sz="4" w:space="0" w:color="000000"/>
            </w:tcBorders>
            <w:tcMar>
              <w:left w:w="96" w:type="dxa"/>
              <w:right w:w="96" w:type="dxa"/>
            </w:tcMar>
          </w:tcPr>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配点</w:t>
            </w:r>
          </w:p>
        </w:tc>
      </w:tr>
      <w:tr w:rsidR="00591166">
        <w:tc>
          <w:tcPr>
            <w:tcW w:w="1683" w:type="dxa"/>
            <w:vMerge w:val="restart"/>
            <w:tcBorders>
              <w:top w:val="nil"/>
              <w:left w:val="single" w:sz="4" w:space="0" w:color="000000"/>
              <w:bottom w:val="single" w:sz="4" w:space="0" w:color="000000"/>
              <w:right w:val="single" w:sz="4" w:space="0" w:color="000000"/>
            </w:tcBorders>
            <w:tcMar>
              <w:left w:w="96" w:type="dxa"/>
              <w:right w:w="96" w:type="dxa"/>
            </w:tcMar>
          </w:tcPr>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従業員に対する仕事と子育ての両立支援を行っていること。</w:t>
            </w: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法定を上回る就業規則の制定（産前産後休暇・育児休業期間延長、勤務時間短縮など）</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多子世帯に対する援助の実施（２人目以降出産の場合祝い金、商品割引など）</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ノー残業デーの導入・拡充や企業内の意識啓発による労働時間の削減</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男性の育児休業の取得促進</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産休・育休後の継続就業の実績</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子育て相談、育児休業中の従業員に対する情報提供</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７</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育児教室や学校行事などへの参加促進</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事業所内への保育施設・託児室・授乳コーナーの設置による子育てバリアフリーの促進</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９</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その他子どものいる従業員に対する子育てしやすい労働条件の整備</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１項目につき１点</w:t>
            </w:r>
          </w:p>
        </w:tc>
      </w:tr>
      <w:tr w:rsidR="00591166">
        <w:tc>
          <w:tcPr>
            <w:tcW w:w="1683" w:type="dxa"/>
            <w:vMerge w:val="restart"/>
            <w:tcBorders>
              <w:top w:val="nil"/>
              <w:left w:val="single" w:sz="4" w:space="0" w:color="000000"/>
              <w:bottom w:val="single" w:sz="4" w:space="0" w:color="000000"/>
              <w:right w:val="single" w:sz="4" w:space="0" w:color="000000"/>
            </w:tcBorders>
            <w:tcMar>
              <w:left w:w="96" w:type="dxa"/>
              <w:right w:w="96" w:type="dxa"/>
            </w:tcMar>
          </w:tcPr>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企業の取組として子どもと子育て世代の支援を行っていること。</w:t>
            </w: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一般事業主行動計画の策定</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子育てに配慮したサービスの提供・製品の開発</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子育て支援に関する研修等の開催</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出産育児で離職した女性の雇用</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ひとり親家庭の父母の雇用</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若者の安定的な雇用</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７</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子育て世代の雇用促進</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その他企業が取り組む子育てしやすいまち及び職場環境の整備</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１項目につき１点</w:t>
            </w:r>
          </w:p>
        </w:tc>
      </w:tr>
      <w:tr w:rsidR="00591166">
        <w:tc>
          <w:tcPr>
            <w:tcW w:w="1683" w:type="dxa"/>
            <w:vMerge w:val="restart"/>
            <w:tcBorders>
              <w:top w:val="nil"/>
              <w:left w:val="single" w:sz="4" w:space="0" w:color="000000"/>
              <w:bottom w:val="single" w:sz="4" w:space="0" w:color="000000"/>
              <w:right w:val="single" w:sz="4" w:space="0" w:color="000000"/>
            </w:tcBorders>
            <w:tcMar>
              <w:left w:w="96" w:type="dxa"/>
              <w:right w:w="96" w:type="dxa"/>
            </w:tcMar>
          </w:tcPr>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地域の子育て活動との協働に</w:t>
            </w:r>
            <w:r>
              <w:rPr>
                <w:rFonts w:ascii="ＭＳ 明朝" w:eastAsia="ＭＳ 明朝" w:hAnsi="ＭＳ 明朝" w:cs="ＭＳ 明朝" w:hint="eastAsia"/>
                <w:color w:val="000000"/>
              </w:rPr>
              <w:lastRenderedPageBreak/>
              <w:t>よる支援を行っていること。</w:t>
            </w: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地域における子育て支援活動への労働者の参加</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青少年健全育成の取組</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子ども１１０番の家、子ども</w:t>
            </w:r>
            <w:r>
              <w:rPr>
                <w:rFonts w:ascii="ＭＳ 明朝" w:eastAsia="ＭＳ 明朝" w:hAnsi="ＭＳ 明朝" w:cs="ＭＳ 明朝"/>
                <w:color w:val="000000"/>
              </w:rPr>
              <w:t>SOS</w:t>
            </w:r>
            <w:r>
              <w:rPr>
                <w:rFonts w:ascii="ＭＳ 明朝" w:eastAsia="ＭＳ 明朝" w:hAnsi="ＭＳ 明朝" w:cs="ＭＳ 明朝" w:hint="eastAsia"/>
                <w:color w:val="000000"/>
              </w:rPr>
              <w:t>の家の指定</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子どもの職業体験の提供</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p>
        </w:tc>
      </w:tr>
      <w:tr w:rsidR="00591166">
        <w:tc>
          <w:tcPr>
            <w:tcW w:w="1683" w:type="dxa"/>
            <w:vMerge/>
            <w:tcBorders>
              <w:top w:val="nil"/>
              <w:left w:val="single" w:sz="4" w:space="0" w:color="000000"/>
              <w:bottom w:val="single" w:sz="4" w:space="0" w:color="000000"/>
              <w:right w:val="single" w:sz="4" w:space="0" w:color="000000"/>
            </w:tcBorders>
            <w:tcMar>
              <w:left w:w="96" w:type="dxa"/>
              <w:right w:w="96" w:type="dxa"/>
            </w:tcMar>
          </w:tcPr>
          <w:p w:rsidR="00591166" w:rsidRDefault="00591166">
            <w:pPr>
              <w:jc w:val="both"/>
              <w:rPr>
                <w:sz w:val="24"/>
                <w:szCs w:val="24"/>
              </w:rPr>
            </w:pPr>
          </w:p>
        </w:tc>
        <w:tc>
          <w:tcPr>
            <w:tcW w:w="280"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c>
          <w:tcPr>
            <w:tcW w:w="570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その他特色ある子育て支援の取組</w:t>
            </w:r>
          </w:p>
        </w:tc>
        <w:tc>
          <w:tcPr>
            <w:tcW w:w="1496" w:type="dxa"/>
            <w:tcBorders>
              <w:top w:val="nil"/>
              <w:left w:val="nil"/>
              <w:bottom w:val="single" w:sz="4" w:space="0" w:color="000000"/>
              <w:right w:val="single" w:sz="4" w:space="0" w:color="000000"/>
            </w:tcBorders>
            <w:tcMar>
              <w:left w:w="96" w:type="dxa"/>
              <w:right w:w="96" w:type="dxa"/>
            </w:tcMar>
          </w:tcPr>
          <w:p w:rsidR="00591166" w:rsidRDefault="00733314">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１項目につき１点</w:t>
            </w:r>
          </w:p>
        </w:tc>
      </w:tr>
    </w:tbl>
    <w:p w:rsidR="00591166" w:rsidRDefault="00733314">
      <w:pPr>
        <w:spacing w:line="420" w:lineRule="atLeast"/>
        <w:ind w:left="210"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２分野以上に取り組み、合計点が５点以上の場合認定対象とする。</w:t>
      </w:r>
    </w:p>
    <w:p w:rsidR="00591166" w:rsidRDefault="00591166">
      <w:pPr>
        <w:rPr>
          <w:sz w:val="24"/>
          <w:szCs w:val="24"/>
        </w:rPr>
        <w:sectPr w:rsidR="00591166">
          <w:pgSz w:w="11905" w:h="16837"/>
          <w:pgMar w:top="1417" w:right="1133" w:bottom="1417" w:left="1417" w:header="850" w:footer="992" w:gutter="0"/>
          <w:cols w:space="720"/>
          <w:noEndnote/>
          <w:docGrid w:type="linesAndChars" w:linePitch="451" w:charSpace="8601"/>
        </w:sectPr>
      </w:pPr>
    </w:p>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91166" w:rsidRDefault="00591166">
      <w:pPr>
        <w:rPr>
          <w:sz w:val="24"/>
          <w:szCs w:val="24"/>
        </w:rPr>
        <w:sectPr w:rsidR="00591166">
          <w:pgSz w:w="11905" w:h="16837"/>
          <w:pgMar w:top="1417" w:right="1133" w:bottom="1417" w:left="1417" w:header="850" w:footer="992" w:gutter="0"/>
          <w:cols w:space="720"/>
          <w:noEndnote/>
          <w:docGrid w:type="linesAndChars" w:linePitch="451" w:charSpace="8601"/>
        </w:sectPr>
      </w:pPr>
    </w:p>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91166" w:rsidRDefault="00591166">
      <w:pPr>
        <w:rPr>
          <w:sz w:val="24"/>
          <w:szCs w:val="24"/>
        </w:rPr>
        <w:sectPr w:rsidR="00591166">
          <w:pgSz w:w="11905" w:h="16837"/>
          <w:pgMar w:top="1417" w:right="1133" w:bottom="1417" w:left="1417" w:header="850" w:footer="992" w:gutter="0"/>
          <w:cols w:space="720"/>
          <w:noEndnote/>
          <w:docGrid w:type="linesAndChars" w:linePitch="451" w:charSpace="8601"/>
        </w:sectPr>
      </w:pPr>
    </w:p>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91166" w:rsidRDefault="00591166">
      <w:pPr>
        <w:rPr>
          <w:sz w:val="24"/>
          <w:szCs w:val="24"/>
        </w:rPr>
        <w:sectPr w:rsidR="00591166">
          <w:pgSz w:w="11905" w:h="16837"/>
          <w:pgMar w:top="1417" w:right="1133" w:bottom="1417" w:left="1417" w:header="850" w:footer="992" w:gutter="0"/>
          <w:cols w:space="720"/>
          <w:noEndnote/>
          <w:docGrid w:type="linesAndChars" w:linePitch="451" w:charSpace="8601"/>
        </w:sectPr>
      </w:pPr>
    </w:p>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91166" w:rsidRDefault="00591166">
      <w:pPr>
        <w:rPr>
          <w:sz w:val="24"/>
          <w:szCs w:val="24"/>
        </w:rPr>
        <w:sectPr w:rsidR="00591166">
          <w:pgSz w:w="11905" w:h="16837"/>
          <w:pgMar w:top="1417" w:right="1133" w:bottom="1417" w:left="1417" w:header="850" w:footer="992" w:gutter="0"/>
          <w:cols w:space="720"/>
          <w:noEndnote/>
          <w:docGrid w:type="linesAndChars" w:linePitch="451" w:charSpace="8601"/>
        </w:sectPr>
      </w:pPr>
    </w:p>
    <w:p w:rsidR="00591166" w:rsidRDefault="00733314">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91166" w:rsidRDefault="00591166">
      <w:pPr>
        <w:rPr>
          <w:sz w:val="24"/>
          <w:szCs w:val="24"/>
        </w:rPr>
        <w:sectPr w:rsidR="00591166">
          <w:pgSz w:w="11905" w:h="16837"/>
          <w:pgMar w:top="1417" w:right="1133" w:bottom="1417" w:left="1417" w:header="850" w:footer="992" w:gutter="0"/>
          <w:cols w:space="720"/>
          <w:noEndnote/>
          <w:docGrid w:type="linesAndChars" w:linePitch="451" w:charSpace="8601"/>
        </w:sectPr>
      </w:pP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様式第１号（第３条関係）</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様式第２号（第３条関係）</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様式第３号（第５条関係）</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様式第４号（第１１条関係）</w:t>
      </w:r>
    </w:p>
    <w:p w:rsidR="00591166" w:rsidRDefault="00733314">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様式第５号（第１２条関係）</w:t>
      </w:r>
    </w:p>
    <w:p w:rsidR="00591166" w:rsidRDefault="00591166">
      <w:pPr>
        <w:spacing w:line="420" w:lineRule="atLeast"/>
        <w:jc w:val="both"/>
        <w:rPr>
          <w:rFonts w:ascii="ＭＳ 明朝" w:eastAsia="ＭＳ 明朝" w:hAnsi="ＭＳ 明朝" w:cs="ＭＳ 明朝"/>
          <w:color w:val="000000"/>
        </w:rPr>
      </w:pPr>
      <w:bookmarkStart w:id="1" w:name="last"/>
      <w:bookmarkEnd w:id="1"/>
    </w:p>
    <w:sectPr w:rsidR="00591166">
      <w:pgSz w:w="11905" w:h="16837"/>
      <w:pgMar w:top="1417" w:right="1133" w:bottom="1417" w:left="1417" w:header="850" w:footer="992" w:gutter="0"/>
      <w:cols w:space="720"/>
      <w:noEndnote/>
      <w:docGrid w:type="linesAndChars" w:linePitch="451"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074" w:rsidRDefault="00EB1074" w:rsidP="00EB1074">
      <w:r>
        <w:separator/>
      </w:r>
    </w:p>
  </w:endnote>
  <w:endnote w:type="continuationSeparator" w:id="0">
    <w:p w:rsidR="00EB1074" w:rsidRDefault="00EB1074" w:rsidP="00EB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074" w:rsidRDefault="00EB1074" w:rsidP="00EB1074">
      <w:r>
        <w:separator/>
      </w:r>
    </w:p>
  </w:footnote>
  <w:footnote w:type="continuationSeparator" w:id="0">
    <w:p w:rsidR="00EB1074" w:rsidRDefault="00EB1074" w:rsidP="00EB1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6"/>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4"/>
    <w:rsid w:val="00006B93"/>
    <w:rsid w:val="001B46E0"/>
    <w:rsid w:val="00591166"/>
    <w:rsid w:val="00733314"/>
    <w:rsid w:val="00917064"/>
    <w:rsid w:val="00EB1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B6549C3"/>
  <w14:defaultImageDpi w14:val="0"/>
  <w15:docId w15:val="{DBB228BF-C83E-4974-845B-D5A59B10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074"/>
    <w:pPr>
      <w:tabs>
        <w:tab w:val="center" w:pos="4252"/>
        <w:tab w:val="right" w:pos="8504"/>
      </w:tabs>
      <w:snapToGrid w:val="0"/>
    </w:pPr>
  </w:style>
  <w:style w:type="character" w:customStyle="1" w:styleId="a4">
    <w:name w:val="ヘッダー (文字)"/>
    <w:basedOn w:val="a0"/>
    <w:link w:val="a3"/>
    <w:uiPriority w:val="99"/>
    <w:rsid w:val="00EB1074"/>
    <w:rPr>
      <w:rFonts w:ascii="Arial" w:hAnsi="Arial" w:cs="Arial"/>
      <w:kern w:val="0"/>
      <w:szCs w:val="21"/>
    </w:rPr>
  </w:style>
  <w:style w:type="paragraph" w:styleId="a5">
    <w:name w:val="footer"/>
    <w:basedOn w:val="a"/>
    <w:link w:val="a6"/>
    <w:uiPriority w:val="99"/>
    <w:unhideWhenUsed/>
    <w:rsid w:val="00EB1074"/>
    <w:pPr>
      <w:tabs>
        <w:tab w:val="center" w:pos="4252"/>
        <w:tab w:val="right" w:pos="8504"/>
      </w:tabs>
      <w:snapToGrid w:val="0"/>
    </w:pPr>
  </w:style>
  <w:style w:type="character" w:customStyle="1" w:styleId="a6">
    <w:name w:val="フッター (文字)"/>
    <w:basedOn w:val="a0"/>
    <w:link w:val="a5"/>
    <w:uiPriority w:val="99"/>
    <w:rsid w:val="00EB1074"/>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2439</Words>
  <Characters>229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萌子</dc:creator>
  <cp:keywords/>
  <dc:description/>
  <cp:lastModifiedBy>清水 萌子</cp:lastModifiedBy>
  <cp:revision>5</cp:revision>
  <dcterms:created xsi:type="dcterms:W3CDTF">2025-02-07T07:04:00Z</dcterms:created>
  <dcterms:modified xsi:type="dcterms:W3CDTF">2025-03-27T02:57:00Z</dcterms:modified>
</cp:coreProperties>
</file>